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35A" w:rsidRPr="00E4235A" w:rsidRDefault="00E4235A" w:rsidP="00E4235A">
      <w:pPr>
        <w:tabs>
          <w:tab w:val="clear" w:pos="680"/>
        </w:tabs>
        <w:spacing w:beforeAutospacing="1" w:line="495" w:lineRule="atLeast"/>
        <w:textAlignment w:val="baseline"/>
        <w:outlineLvl w:val="0"/>
        <w:rPr>
          <w:rFonts w:ascii="Arial" w:eastAsia="Times New Roman" w:hAnsi="Arial" w:cs="Arial"/>
          <w:b/>
          <w:bCs/>
          <w:color w:val="761C19"/>
          <w:kern w:val="36"/>
          <w:sz w:val="45"/>
          <w:szCs w:val="45"/>
          <w:lang w:eastAsia="da-DK"/>
        </w:rPr>
      </w:pPr>
      <w:r>
        <w:rPr>
          <w:rFonts w:ascii="Arial" w:eastAsia="Times New Roman" w:hAnsi="Arial" w:cs="Arial"/>
          <w:b/>
          <w:bCs/>
          <w:color w:val="761C19"/>
          <w:kern w:val="36"/>
          <w:sz w:val="45"/>
          <w:szCs w:val="45"/>
          <w:bdr w:val="none" w:sz="0" w:space="0" w:color="auto" w:frame="1"/>
          <w:lang w:eastAsia="da-DK"/>
        </w:rPr>
        <w:t>Arbejdsv</w:t>
      </w:r>
      <w:r w:rsidRPr="00E4235A">
        <w:rPr>
          <w:rFonts w:ascii="Arial" w:eastAsia="Times New Roman" w:hAnsi="Arial" w:cs="Arial"/>
          <w:b/>
          <w:bCs/>
          <w:color w:val="761C19"/>
          <w:kern w:val="36"/>
          <w:sz w:val="45"/>
          <w:szCs w:val="45"/>
          <w:bdr w:val="none" w:sz="0" w:space="0" w:color="auto" w:frame="1"/>
          <w:lang w:eastAsia="da-DK"/>
        </w:rPr>
        <w:t>edtægter</w:t>
      </w:r>
    </w:p>
    <w:p w:rsidR="00E4235A" w:rsidRDefault="00E4235A" w:rsidP="00E4235A">
      <w:pPr>
        <w:shd w:val="clear" w:color="auto" w:fill="FFFFFF"/>
        <w:tabs>
          <w:tab w:val="clear" w:pos="680"/>
        </w:tabs>
        <w:spacing w:line="336" w:lineRule="atLeast"/>
        <w:textAlignment w:val="baseline"/>
        <w:rPr>
          <w:rFonts w:ascii="Arial" w:eastAsia="Times New Roman" w:hAnsi="Arial" w:cs="Arial"/>
          <w:b/>
          <w:bCs/>
          <w:i/>
          <w:iCs/>
          <w:color w:val="333333"/>
          <w:szCs w:val="24"/>
          <w:bdr w:val="none" w:sz="0" w:space="0" w:color="auto" w:frame="1"/>
          <w:lang w:eastAsia="da-DK"/>
        </w:rPr>
      </w:pPr>
    </w:p>
    <w:p w:rsidR="00E4235A" w:rsidRDefault="00E4235A" w:rsidP="00E4235A">
      <w:pPr>
        <w:shd w:val="clear" w:color="auto" w:fill="FFFFFF"/>
        <w:tabs>
          <w:tab w:val="clear" w:pos="680"/>
        </w:tabs>
        <w:spacing w:line="336" w:lineRule="atLeast"/>
        <w:textAlignment w:val="baseline"/>
        <w:rPr>
          <w:rFonts w:ascii="Arial" w:eastAsia="Times New Roman" w:hAnsi="Arial" w:cs="Arial"/>
          <w:b/>
          <w:bCs/>
          <w:color w:val="333333"/>
          <w:szCs w:val="24"/>
          <w:bdr w:val="none" w:sz="0" w:space="0" w:color="auto" w:frame="1"/>
          <w:lang w:eastAsia="da-DK"/>
        </w:rPr>
      </w:pPr>
      <w:bookmarkStart w:id="0" w:name="_GoBack"/>
      <w:bookmarkEnd w:id="0"/>
      <w:r w:rsidRPr="00E4235A">
        <w:rPr>
          <w:rFonts w:ascii="Arial" w:eastAsia="Times New Roman" w:hAnsi="Arial" w:cs="Arial"/>
          <w:b/>
          <w:bCs/>
          <w:color w:val="333333"/>
          <w:szCs w:val="24"/>
          <w:bdr w:val="none" w:sz="0" w:space="0" w:color="auto" w:frame="1"/>
          <w:lang w:eastAsia="da-DK"/>
        </w:rPr>
        <w:t>for Landsnetværket af folkekirkelige skoletjenester og skole-kirke-samarbejder</w:t>
      </w:r>
    </w:p>
    <w:p w:rsidR="00E4235A" w:rsidRDefault="00E4235A" w:rsidP="00E4235A">
      <w:pPr>
        <w:shd w:val="clear" w:color="auto" w:fill="FFFFFF"/>
        <w:tabs>
          <w:tab w:val="clear" w:pos="680"/>
        </w:tabs>
        <w:spacing w:line="336" w:lineRule="atLeast"/>
        <w:textAlignment w:val="baseline"/>
        <w:rPr>
          <w:rFonts w:ascii="Arial" w:eastAsia="Times New Roman" w:hAnsi="Arial" w:cs="Arial"/>
          <w:b/>
          <w:bCs/>
          <w:color w:val="333333"/>
          <w:szCs w:val="24"/>
          <w:bdr w:val="none" w:sz="0" w:space="0" w:color="auto" w:frame="1"/>
          <w:lang w:eastAsia="da-DK"/>
        </w:rPr>
      </w:pPr>
    </w:p>
    <w:p w:rsidR="00E4235A" w:rsidRDefault="00E4235A" w:rsidP="00E4235A">
      <w:pPr>
        <w:shd w:val="clear" w:color="auto" w:fill="FFFFFF"/>
        <w:tabs>
          <w:tab w:val="clear" w:pos="680"/>
        </w:tabs>
        <w:spacing w:line="336" w:lineRule="atLeast"/>
        <w:textAlignment w:val="baseline"/>
        <w:rPr>
          <w:rFonts w:ascii="Arial" w:eastAsia="Times New Roman" w:hAnsi="Arial" w:cs="Arial"/>
          <w:b/>
          <w:bCs/>
          <w:color w:val="333333"/>
          <w:szCs w:val="24"/>
          <w:bdr w:val="none" w:sz="0" w:space="0" w:color="auto" w:frame="1"/>
          <w:lang w:eastAsia="da-DK"/>
        </w:rPr>
      </w:pPr>
    </w:p>
    <w:p w:rsidR="00E4235A" w:rsidRDefault="00E4235A" w:rsidP="00E4235A">
      <w:pPr>
        <w:tabs>
          <w:tab w:val="left" w:pos="5310"/>
        </w:tabs>
        <w:jc w:val="center"/>
        <w:rPr>
          <w:b/>
        </w:rPr>
      </w:pPr>
      <w:r>
        <w:rPr>
          <w:b/>
        </w:rPr>
        <w:t>1.</w:t>
      </w:r>
    </w:p>
    <w:p w:rsidR="00E4235A" w:rsidRPr="00C64A0B" w:rsidRDefault="00E4235A" w:rsidP="00E4235A">
      <w:pPr>
        <w:rPr>
          <w:sz w:val="16"/>
          <w:szCs w:val="16"/>
        </w:rPr>
      </w:pPr>
    </w:p>
    <w:p w:rsidR="00E4235A" w:rsidRDefault="00E4235A" w:rsidP="00E4235A">
      <w:r w:rsidRPr="0056564F">
        <w:t>Landsnetværket af folkekirkelige skoletjenester og skole-kirke-samarbejder er et arbejdsfællesskab mellem selvstændige institutioner, der med udgangspunkt i folkekirkens evangelisk-lutherske kristendom og med afsæt i faget kristendomskundskab har til formål at styrke samarbejdet mellem skole og kirke omkring undervisningsmæssige opgaver.</w:t>
      </w:r>
    </w:p>
    <w:p w:rsidR="00E4235A" w:rsidRPr="0056564F" w:rsidRDefault="00E4235A" w:rsidP="00E4235A">
      <w:pPr>
        <w:rPr>
          <w:sz w:val="10"/>
          <w:szCs w:val="10"/>
        </w:rPr>
      </w:pPr>
    </w:p>
    <w:p w:rsidR="00E4235A" w:rsidRDefault="00E4235A" w:rsidP="00E4235A">
      <w:r w:rsidRPr="0056564F">
        <w:t>Samarbejdet mellem skole og kirke finder sted på skolens præmisser, hvilket vil sige den til enhver tid gældende folkeskolelov og de tilhørende fagbeskrivelser. Landsnetværket tilrettelægger altså sine initiativer således, at undervisningsforløb og lærerkurser udbydes inden for skolens rammer og målsætning.</w:t>
      </w:r>
    </w:p>
    <w:p w:rsidR="00E4235A" w:rsidRDefault="00E4235A" w:rsidP="00E4235A"/>
    <w:p w:rsidR="00E4235A" w:rsidRDefault="00E4235A" w:rsidP="00E4235A"/>
    <w:p w:rsidR="00E4235A" w:rsidRDefault="00E4235A" w:rsidP="00E4235A">
      <w:pPr>
        <w:jc w:val="center"/>
        <w:rPr>
          <w:b/>
        </w:rPr>
      </w:pPr>
      <w:r>
        <w:rPr>
          <w:b/>
        </w:rPr>
        <w:t>2.</w:t>
      </w:r>
    </w:p>
    <w:p w:rsidR="00E4235A" w:rsidRPr="00C64A0B" w:rsidRDefault="00E4235A" w:rsidP="00E4235A">
      <w:pPr>
        <w:jc w:val="center"/>
        <w:rPr>
          <w:b/>
          <w:sz w:val="16"/>
          <w:szCs w:val="16"/>
        </w:rPr>
      </w:pPr>
    </w:p>
    <w:p w:rsidR="00E4235A" w:rsidRPr="0056564F" w:rsidRDefault="00E4235A" w:rsidP="00E4235A">
      <w:pPr>
        <w:tabs>
          <w:tab w:val="left" w:pos="5310"/>
        </w:tabs>
      </w:pPr>
      <w:r w:rsidRPr="0056564F">
        <w:t xml:space="preserve">Landsnetværket, der er etableret i 1995, har et formaliseret samarbejde med Folkekirkens Undervisnings- og Videnscenter (FUV) om bl.a. gensidig orientering og støtte i forbindelse med udvikling af skole-kirke-samarbejdet i Danmark. FUV står i den forbindelse til rådighed med faglig ekspertise. </w:t>
      </w:r>
    </w:p>
    <w:p w:rsidR="00E4235A" w:rsidRPr="0056564F" w:rsidRDefault="00E4235A" w:rsidP="00E4235A">
      <w:pPr>
        <w:tabs>
          <w:tab w:val="left" w:pos="5310"/>
        </w:tabs>
        <w:rPr>
          <w:sz w:val="10"/>
          <w:szCs w:val="10"/>
        </w:rPr>
      </w:pPr>
    </w:p>
    <w:p w:rsidR="00E4235A" w:rsidRPr="0056564F" w:rsidRDefault="00E4235A" w:rsidP="00E4235A">
      <w:pPr>
        <w:tabs>
          <w:tab w:val="left" w:pos="5310"/>
        </w:tabs>
      </w:pPr>
      <w:r w:rsidRPr="0056564F">
        <w:t>Landsnetværkets arbejde koordineres af en af netværket nedsat koordineringsgruppe på fire medlemmer. Koordineringsgruppen udarbejder i samarbejde med Landsnetværkets enkelte institutioner dagsordener til og referater fra fællesmøderne, og den har ansvaret for den praktiske afvikling af møderne – herunder indkaldelse og diverse bookinger m.v., som ikke naturligt ligger i FUV-regi (jf. bilag med beskrivelse af koordineringsgruppens arbejde).</w:t>
      </w:r>
    </w:p>
    <w:p w:rsidR="00E4235A" w:rsidRPr="0056564F" w:rsidRDefault="00E4235A" w:rsidP="00E4235A">
      <w:pPr>
        <w:tabs>
          <w:tab w:val="left" w:pos="5310"/>
        </w:tabs>
        <w:rPr>
          <w:sz w:val="10"/>
          <w:szCs w:val="10"/>
        </w:rPr>
      </w:pPr>
    </w:p>
    <w:p w:rsidR="00E4235A" w:rsidRPr="0056564F" w:rsidRDefault="00E4235A" w:rsidP="00E4235A">
      <w:pPr>
        <w:tabs>
          <w:tab w:val="left" w:pos="5310"/>
        </w:tabs>
      </w:pPr>
      <w:r w:rsidRPr="0056564F">
        <w:t>FUV har en udpeget kontaktperson, som har adgang til Landsnetværkets konference på Skolekom, og som inviteres til deltagelse i Landsnetværkets møder med mulighed for at ønske punkter på dagsordenen</w:t>
      </w:r>
      <w:r>
        <w:t>.</w:t>
      </w:r>
      <w:r w:rsidRPr="0056564F">
        <w:t xml:space="preserve"> </w:t>
      </w:r>
    </w:p>
    <w:p w:rsidR="00E4235A" w:rsidRDefault="00E4235A" w:rsidP="00E4235A">
      <w:pPr>
        <w:rPr>
          <w:b/>
        </w:rPr>
      </w:pPr>
    </w:p>
    <w:p w:rsidR="00E4235A" w:rsidRDefault="00E4235A" w:rsidP="00E4235A">
      <w:pPr>
        <w:jc w:val="center"/>
        <w:rPr>
          <w:b/>
        </w:rPr>
      </w:pPr>
      <w:r>
        <w:rPr>
          <w:b/>
        </w:rPr>
        <w:t>3.</w:t>
      </w:r>
    </w:p>
    <w:p w:rsidR="00E4235A" w:rsidRPr="00C64A0B" w:rsidRDefault="00E4235A" w:rsidP="00E4235A">
      <w:pPr>
        <w:jc w:val="center"/>
        <w:rPr>
          <w:b/>
          <w:sz w:val="16"/>
          <w:szCs w:val="16"/>
        </w:rPr>
      </w:pPr>
    </w:p>
    <w:p w:rsidR="00E4235A" w:rsidRDefault="00E4235A" w:rsidP="00E4235A">
      <w:r w:rsidRPr="0056564F">
        <w:lastRenderedPageBreak/>
        <w:t xml:space="preserve">Landsnetværket er i </w:t>
      </w:r>
      <w:proofErr w:type="spellStart"/>
      <w:r w:rsidRPr="0056564F">
        <w:t>hht</w:t>
      </w:r>
      <w:proofErr w:type="spellEnd"/>
      <w:r w:rsidRPr="0056564F">
        <w:t xml:space="preserve">. </w:t>
      </w:r>
      <w:proofErr w:type="gramStart"/>
      <w:r w:rsidRPr="0056564F">
        <w:t>til</w:t>
      </w:r>
      <w:proofErr w:type="gramEnd"/>
      <w:r w:rsidRPr="0056564F">
        <w:t xml:space="preserve"> pkt. 1. principielt åbent for alle interesserede, men af hensyn til ligeværdighed i arbejdsfællesskabet og udbyttet af samarbejdet forudsættes en vis homogenitet deltagerne imellem. Deltagelse i Landsnetværket er således betinget af:</w:t>
      </w:r>
    </w:p>
    <w:p w:rsidR="00E4235A" w:rsidRPr="0056564F" w:rsidRDefault="00E4235A" w:rsidP="00E4235A">
      <w:pPr>
        <w:rPr>
          <w:sz w:val="10"/>
          <w:szCs w:val="10"/>
        </w:rPr>
      </w:pPr>
    </w:p>
    <w:p w:rsidR="00E4235A" w:rsidRDefault="00E4235A" w:rsidP="00E4235A">
      <w:pPr>
        <w:numPr>
          <w:ilvl w:val="0"/>
          <w:numId w:val="1"/>
        </w:numPr>
        <w:contextualSpacing/>
      </w:pPr>
      <w:r>
        <w:t>A</w:t>
      </w:r>
      <w:r w:rsidRPr="0056564F">
        <w:t>t den institution, man repræsenterer, omfatter et vist antal skoler og kirker, dvs. at samarbejdet skal omfatte et område svarende til mindst et helt provsti og/eller en kommune</w:t>
      </w:r>
      <w:r>
        <w:t>.</w:t>
      </w:r>
    </w:p>
    <w:p w:rsidR="00E4235A" w:rsidRPr="0056564F" w:rsidRDefault="00E4235A" w:rsidP="00E4235A">
      <w:pPr>
        <w:ind w:left="720"/>
        <w:rPr>
          <w:sz w:val="10"/>
          <w:szCs w:val="10"/>
        </w:rPr>
      </w:pPr>
    </w:p>
    <w:p w:rsidR="00E4235A" w:rsidRDefault="00E4235A" w:rsidP="00E4235A">
      <w:pPr>
        <w:numPr>
          <w:ilvl w:val="0"/>
          <w:numId w:val="1"/>
        </w:numPr>
        <w:contextualSpacing/>
      </w:pPr>
      <w:r>
        <w:t>A</w:t>
      </w:r>
      <w:r w:rsidRPr="0056564F">
        <w:t>t institutionen har mindst én medarbejder ansat på minimum 50 % af en fuldtidsstilling, i en ansættelse der sikrer, at medarbejderen kan indgå i længerevarende tværgående arbejdsgrupper. Øvrige medarbejdere, som ønsker adgang til landsnetværkets møder, skal have en ansættelsesgrad på minimum 25 % af en fuldtidsstilling, således at deltagere i samarbejdet har en væsentlig og formel del af deres beskæftigelse ved skoletjenestevirksomhed.</w:t>
      </w:r>
    </w:p>
    <w:p w:rsidR="00E4235A" w:rsidRPr="0056564F" w:rsidRDefault="00E4235A" w:rsidP="00E4235A">
      <w:pPr>
        <w:ind w:left="720"/>
        <w:rPr>
          <w:sz w:val="10"/>
          <w:szCs w:val="10"/>
        </w:rPr>
      </w:pPr>
    </w:p>
    <w:p w:rsidR="00E4235A" w:rsidRDefault="00E4235A" w:rsidP="00E4235A">
      <w:pPr>
        <w:numPr>
          <w:ilvl w:val="0"/>
          <w:numId w:val="1"/>
        </w:numPr>
        <w:contextualSpacing/>
      </w:pPr>
      <w:r>
        <w:t>A</w:t>
      </w:r>
      <w:r w:rsidRPr="0056564F">
        <w:t xml:space="preserve">t bestyrelserne bag de respektive skoletjenester i arbejdsfællesskabet sikrer såvel teologisk som skolepædagogiske faglighed i institutionens arbejde - eksempelvis gennem en forpligtende samarbejdsaftale med en anden folkekirkelig skoletjeneste, et arbejdsudvalg eller medarbejdernes kvalifikationer. </w:t>
      </w:r>
    </w:p>
    <w:p w:rsidR="00E4235A" w:rsidRPr="0056564F" w:rsidRDefault="00E4235A" w:rsidP="00E4235A">
      <w:pPr>
        <w:ind w:left="720"/>
        <w:rPr>
          <w:sz w:val="10"/>
          <w:szCs w:val="10"/>
        </w:rPr>
      </w:pPr>
    </w:p>
    <w:p w:rsidR="00E4235A" w:rsidRDefault="00E4235A" w:rsidP="00E4235A">
      <w:pPr>
        <w:numPr>
          <w:ilvl w:val="0"/>
          <w:numId w:val="1"/>
        </w:numPr>
        <w:contextualSpacing/>
      </w:pPr>
      <w:r>
        <w:t>A</w:t>
      </w:r>
      <w:r w:rsidRPr="0056564F">
        <w:t>t man som medarbejder(e) har til opgave at udarbejde, udbyde, gennemføre og evaluere undervisningsprojekter samt tilrettelægge og gennemføre kurser.</w:t>
      </w:r>
    </w:p>
    <w:p w:rsidR="00E4235A" w:rsidRPr="0056564F" w:rsidRDefault="00E4235A" w:rsidP="00E4235A">
      <w:pPr>
        <w:ind w:left="720"/>
        <w:rPr>
          <w:sz w:val="10"/>
          <w:szCs w:val="10"/>
        </w:rPr>
      </w:pPr>
    </w:p>
    <w:p w:rsidR="00E4235A" w:rsidRDefault="00E4235A" w:rsidP="00E4235A">
      <w:pPr>
        <w:numPr>
          <w:ilvl w:val="0"/>
          <w:numId w:val="1"/>
        </w:numPr>
        <w:contextualSpacing/>
      </w:pPr>
      <w:r>
        <w:t>A</w:t>
      </w:r>
      <w:r w:rsidRPr="0056564F">
        <w:t>t man som medarbejder(e) har mulighed for løbende at deltage i Landsnetværkets møder og tværgående arbejdsgrupper samt løbende følge med på Landsnetværkets interne Skolekom-konference.</w:t>
      </w:r>
    </w:p>
    <w:p w:rsidR="00E4235A" w:rsidRPr="00C64A0B" w:rsidRDefault="00E4235A" w:rsidP="00E4235A">
      <w:pPr>
        <w:ind w:left="720"/>
        <w:rPr>
          <w:sz w:val="10"/>
          <w:szCs w:val="10"/>
        </w:rPr>
      </w:pPr>
    </w:p>
    <w:p w:rsidR="00E4235A" w:rsidRPr="00CF1FD2" w:rsidRDefault="00E4235A" w:rsidP="00E4235A">
      <w:pPr>
        <w:numPr>
          <w:ilvl w:val="0"/>
          <w:numId w:val="1"/>
        </w:numPr>
        <w:contextualSpacing/>
      </w:pPr>
      <w:r>
        <w:t>A</w:t>
      </w:r>
      <w:r w:rsidRPr="0056564F">
        <w:t xml:space="preserve">t den institution, man repræsenterer, har mulighed for at finansiere såvel udgifter til mødedeltagelse som fællesudgifter i forbindelse med Landsnetværkets aktiviteter, herunder et årligt kontingent </w:t>
      </w:r>
      <w:r w:rsidRPr="00CF1FD2">
        <w:t xml:space="preserve">og fælles efteruddannelse i form af interne kurser og studierejser samt udviklingsarbejde. </w:t>
      </w:r>
    </w:p>
    <w:p w:rsidR="00E4235A" w:rsidRDefault="00E4235A" w:rsidP="00E4235A">
      <w:pPr>
        <w:rPr>
          <w:b/>
        </w:rPr>
      </w:pPr>
    </w:p>
    <w:p w:rsidR="00E4235A" w:rsidRDefault="00E4235A" w:rsidP="00E4235A">
      <w:pPr>
        <w:rPr>
          <w:b/>
        </w:rPr>
      </w:pPr>
    </w:p>
    <w:p w:rsidR="00E4235A" w:rsidRDefault="00E4235A" w:rsidP="00E4235A">
      <w:pPr>
        <w:jc w:val="center"/>
        <w:rPr>
          <w:b/>
        </w:rPr>
      </w:pPr>
      <w:r>
        <w:rPr>
          <w:b/>
        </w:rPr>
        <w:t>4.</w:t>
      </w:r>
    </w:p>
    <w:p w:rsidR="00E4235A" w:rsidRPr="00C64A0B" w:rsidRDefault="00E4235A" w:rsidP="00E4235A">
      <w:pPr>
        <w:jc w:val="center"/>
        <w:rPr>
          <w:b/>
          <w:sz w:val="16"/>
          <w:szCs w:val="16"/>
        </w:rPr>
      </w:pPr>
    </w:p>
    <w:p w:rsidR="00E4235A" w:rsidRDefault="00E4235A" w:rsidP="00E4235A">
      <w:r w:rsidRPr="00C64A0B">
        <w:t>Anmodning om optagelse i Land</w:t>
      </w:r>
      <w:r>
        <w:t>snetværket rettes til talspersonen</w:t>
      </w:r>
      <w:r w:rsidRPr="00C64A0B">
        <w:t xml:space="preserve">, jfr. pkt. </w:t>
      </w:r>
      <w:r w:rsidRPr="00D91F45">
        <w:t>3</w:t>
      </w:r>
      <w:r w:rsidRPr="00C64A0B">
        <w:t xml:space="preserve">., med oplysning om institutionens navn, adresse, geografisk dækning og virkeområde, medarbejdernes navne, stillingsbeskrivelse og beskæftigelsesgrad samt hvorledes den teologiske og skolepædagogiske faglighed sikres. Afgørelse om optagelse, afvisning og evt. senere eksklusion træffes af en af </w:t>
      </w:r>
      <w:r w:rsidRPr="00C64A0B">
        <w:lastRenderedPageBreak/>
        <w:t>Landsnetværket nedsat strukturgruppe på baggrund af en individuel vurdering i relation til denne vedtægt og meddeles af Strukturgruppen.</w:t>
      </w:r>
    </w:p>
    <w:p w:rsidR="00E4235A" w:rsidRPr="002F2E11" w:rsidRDefault="00E4235A" w:rsidP="00E4235A">
      <w:pPr>
        <w:rPr>
          <w:sz w:val="10"/>
          <w:szCs w:val="10"/>
        </w:rPr>
      </w:pPr>
    </w:p>
    <w:p w:rsidR="00E4235A" w:rsidRPr="00C64A0B" w:rsidRDefault="00E4235A" w:rsidP="00E4235A">
      <w:r w:rsidRPr="00C64A0B">
        <w:t>De i pkt. 3. nævnte betingelser skal af nye deltagere være opfyldt ved deltagelse i førstkommende årsmøde efter optagelsen. Eventuelle forringelser af en institutions vilkår, som gør, at den ikke lever op til kravene i Landsnetværket kan medføre eksklusion.</w:t>
      </w:r>
    </w:p>
    <w:p w:rsidR="00E4235A" w:rsidRDefault="00E4235A" w:rsidP="00E4235A">
      <w:pPr>
        <w:rPr>
          <w:b/>
        </w:rPr>
      </w:pPr>
    </w:p>
    <w:p w:rsidR="00E4235A" w:rsidRDefault="00E4235A" w:rsidP="00E4235A">
      <w:pPr>
        <w:rPr>
          <w:b/>
        </w:rPr>
      </w:pPr>
    </w:p>
    <w:p w:rsidR="00E4235A" w:rsidRDefault="00E4235A" w:rsidP="00E4235A">
      <w:pPr>
        <w:jc w:val="center"/>
        <w:rPr>
          <w:b/>
        </w:rPr>
      </w:pPr>
      <w:r>
        <w:rPr>
          <w:b/>
        </w:rPr>
        <w:t>5.</w:t>
      </w:r>
    </w:p>
    <w:p w:rsidR="00E4235A" w:rsidRPr="002F2E11" w:rsidRDefault="00E4235A" w:rsidP="00E4235A">
      <w:pPr>
        <w:jc w:val="center"/>
        <w:rPr>
          <w:b/>
          <w:sz w:val="16"/>
          <w:szCs w:val="16"/>
        </w:rPr>
      </w:pPr>
    </w:p>
    <w:p w:rsidR="00E4235A" w:rsidRDefault="00E4235A" w:rsidP="00E4235A">
      <w:r w:rsidRPr="002F2E11">
        <w:rPr>
          <w:b/>
        </w:rPr>
        <w:t>a)</w:t>
      </w:r>
      <w:r w:rsidRPr="00C64A0B">
        <w:t xml:space="preserve"> Offentliggørelse og brug af undervisningsmaterialer udarbejdet i Landsnetværkets regi sker alene efter deltagernes fælles beslutning.</w:t>
      </w:r>
    </w:p>
    <w:p w:rsidR="00E4235A" w:rsidRPr="002F2E11" w:rsidRDefault="00E4235A" w:rsidP="00E4235A">
      <w:pPr>
        <w:rPr>
          <w:sz w:val="10"/>
          <w:szCs w:val="10"/>
        </w:rPr>
      </w:pPr>
      <w:r w:rsidRPr="00C64A0B">
        <w:t xml:space="preserve"> </w:t>
      </w:r>
    </w:p>
    <w:p w:rsidR="00E4235A" w:rsidRPr="00CF1FD2" w:rsidRDefault="00E4235A" w:rsidP="00E4235A">
      <w:r w:rsidRPr="002F2E11">
        <w:rPr>
          <w:b/>
        </w:rPr>
        <w:t>b)</w:t>
      </w:r>
      <w:r w:rsidRPr="00C64A0B">
        <w:t xml:space="preserve"> Aftaler om brug af lokalt udviklede projekter sker efter gensidig aftale jf. bilag </w:t>
      </w:r>
      <w:r w:rsidRPr="00CF1FD2">
        <w:t>7</w:t>
      </w:r>
    </w:p>
    <w:p w:rsidR="00E4235A" w:rsidRPr="00CF1FD2" w:rsidRDefault="00E4235A" w:rsidP="00E4235A">
      <w:pPr>
        <w:rPr>
          <w:sz w:val="10"/>
          <w:szCs w:val="10"/>
        </w:rPr>
      </w:pPr>
    </w:p>
    <w:p w:rsidR="00E4235A" w:rsidRPr="00CF1FD2" w:rsidRDefault="00E4235A" w:rsidP="00E4235A">
      <w:r w:rsidRPr="00CF1FD2">
        <w:rPr>
          <w:b/>
        </w:rPr>
        <w:t>c)</w:t>
      </w:r>
      <w:r w:rsidRPr="00CF1FD2">
        <w:t xml:space="preserve"> Landsnetværket er organiseret via forskellige arbejdsgrupper og funktioner beskrevet i bilag 1-9. Disse er: </w:t>
      </w:r>
    </w:p>
    <w:p w:rsidR="00E4235A" w:rsidRPr="00CF1FD2" w:rsidRDefault="00E4235A" w:rsidP="00E4235A">
      <w:pPr>
        <w:pStyle w:val="Listeafsnit"/>
        <w:numPr>
          <w:ilvl w:val="0"/>
          <w:numId w:val="2"/>
        </w:numPr>
      </w:pPr>
      <w:r w:rsidRPr="00CF1FD2">
        <w:t xml:space="preserve">Koordineringsgruppen, som koordinerer Landsnetværkets møder.  </w:t>
      </w:r>
    </w:p>
    <w:p w:rsidR="00E4235A" w:rsidRPr="00CF1FD2" w:rsidRDefault="00E4235A" w:rsidP="00E4235A">
      <w:pPr>
        <w:pStyle w:val="Listeafsnit"/>
        <w:numPr>
          <w:ilvl w:val="0"/>
          <w:numId w:val="2"/>
        </w:numPr>
      </w:pPr>
      <w:r w:rsidRPr="00CF1FD2">
        <w:t xml:space="preserve">Strukturgruppen, som varetager vedtægter og </w:t>
      </w:r>
      <w:proofErr w:type="spellStart"/>
      <w:r w:rsidRPr="00CF1FD2">
        <w:t>nyoptagelser</w:t>
      </w:r>
      <w:proofErr w:type="spellEnd"/>
      <w:r w:rsidRPr="00CF1FD2">
        <w:t>.</w:t>
      </w:r>
    </w:p>
    <w:p w:rsidR="00E4235A" w:rsidRPr="00CF1FD2" w:rsidRDefault="00E4235A" w:rsidP="00E4235A">
      <w:pPr>
        <w:pStyle w:val="Listeafsnit"/>
        <w:numPr>
          <w:ilvl w:val="0"/>
          <w:numId w:val="2"/>
        </w:numPr>
      </w:pPr>
      <w:r>
        <w:t>Talspersonen</w:t>
      </w:r>
      <w:r w:rsidRPr="00CF1FD2">
        <w:t xml:space="preserve"> som varetager den eksterne kommunikation. </w:t>
      </w:r>
    </w:p>
    <w:p w:rsidR="00E4235A" w:rsidRPr="00CF1FD2" w:rsidRDefault="00E4235A" w:rsidP="00E4235A">
      <w:pPr>
        <w:pStyle w:val="Listeafsnit"/>
        <w:numPr>
          <w:ilvl w:val="0"/>
          <w:numId w:val="2"/>
        </w:numPr>
      </w:pPr>
      <w:r w:rsidRPr="00CF1FD2">
        <w:t>Kassererfunktionen som varetager økonomien.</w:t>
      </w:r>
    </w:p>
    <w:p w:rsidR="00E4235A" w:rsidRPr="00CF1FD2" w:rsidRDefault="00E4235A" w:rsidP="00E4235A">
      <w:pPr>
        <w:pStyle w:val="Listeafsnit"/>
        <w:numPr>
          <w:ilvl w:val="0"/>
          <w:numId w:val="2"/>
        </w:numPr>
      </w:pPr>
      <w:r w:rsidRPr="00CF1FD2">
        <w:t xml:space="preserve">Webmasterfunktionen som varetager Landsnetværkets portal. </w:t>
      </w:r>
      <w:hyperlink r:id="rId5" w:history="1">
        <w:r w:rsidRPr="00CF1FD2">
          <w:rPr>
            <w:rStyle w:val="Hyperlink"/>
            <w:color w:val="auto"/>
          </w:rPr>
          <w:t>www.folkekirkensskoletjeneste.dk</w:t>
        </w:r>
      </w:hyperlink>
    </w:p>
    <w:p w:rsidR="00E4235A" w:rsidRPr="00CF1FD2" w:rsidRDefault="00E4235A" w:rsidP="00E4235A">
      <w:pPr>
        <w:pStyle w:val="Listeafsnit"/>
        <w:numPr>
          <w:ilvl w:val="0"/>
          <w:numId w:val="2"/>
        </w:numPr>
      </w:pPr>
      <w:r w:rsidRPr="00CF1FD2">
        <w:t>A</w:t>
      </w:r>
      <w:r>
        <w:t>rbejdsgrupper</w:t>
      </w:r>
      <w:r w:rsidRPr="00CF1FD2">
        <w:t>.</w:t>
      </w:r>
    </w:p>
    <w:p w:rsidR="00E4235A" w:rsidRPr="00CF1FD2" w:rsidRDefault="00E4235A" w:rsidP="00E4235A">
      <w:pPr>
        <w:pStyle w:val="Listeafsnit"/>
        <w:numPr>
          <w:ilvl w:val="0"/>
          <w:numId w:val="2"/>
        </w:numPr>
      </w:pPr>
      <w:r>
        <w:t>Brug og deling af projektmaterialer</w:t>
      </w:r>
      <w:r w:rsidRPr="00CF1FD2">
        <w:t>.</w:t>
      </w:r>
    </w:p>
    <w:p w:rsidR="00E4235A" w:rsidRPr="00CF1FD2" w:rsidRDefault="00E4235A" w:rsidP="00E4235A">
      <w:pPr>
        <w:pStyle w:val="Listeafsnit"/>
        <w:numPr>
          <w:ilvl w:val="0"/>
          <w:numId w:val="2"/>
        </w:numPr>
      </w:pPr>
      <w:r w:rsidRPr="00CF1FD2">
        <w:t>Årlige møder</w:t>
      </w:r>
    </w:p>
    <w:p w:rsidR="00E4235A" w:rsidRPr="00CF1FD2" w:rsidRDefault="00E4235A" w:rsidP="00E4235A">
      <w:pPr>
        <w:pStyle w:val="Listeafsnit"/>
        <w:numPr>
          <w:ilvl w:val="0"/>
          <w:numId w:val="2"/>
        </w:numPr>
      </w:pPr>
      <w:r w:rsidRPr="00CF1FD2">
        <w:t>Afstemningsregler</w:t>
      </w:r>
    </w:p>
    <w:p w:rsidR="00E4235A" w:rsidRPr="00C64A0B" w:rsidRDefault="00E4235A" w:rsidP="00E4235A"/>
    <w:p w:rsidR="00E4235A" w:rsidRDefault="00E4235A" w:rsidP="00E4235A">
      <w:pPr>
        <w:rPr>
          <w:b/>
        </w:rPr>
      </w:pPr>
    </w:p>
    <w:p w:rsidR="00E4235A" w:rsidRDefault="00E4235A" w:rsidP="00E4235A">
      <w:pPr>
        <w:tabs>
          <w:tab w:val="left" w:pos="5310"/>
        </w:tabs>
        <w:jc w:val="both"/>
      </w:pPr>
      <w:r>
        <w:t>Vedtaget på fællesmødet i Odense d. 10. november 2015.</w:t>
      </w:r>
    </w:p>
    <w:p w:rsidR="00E4235A" w:rsidRPr="00E4235A" w:rsidRDefault="00E4235A" w:rsidP="00E4235A">
      <w:pPr>
        <w:shd w:val="clear" w:color="auto" w:fill="FFFFFF"/>
        <w:tabs>
          <w:tab w:val="clear" w:pos="680"/>
        </w:tabs>
        <w:spacing w:line="336" w:lineRule="atLeast"/>
        <w:textAlignment w:val="baseline"/>
        <w:rPr>
          <w:rFonts w:ascii="Arial" w:eastAsia="Times New Roman" w:hAnsi="Arial" w:cs="Arial"/>
          <w:color w:val="333333"/>
          <w:szCs w:val="24"/>
          <w:lang w:eastAsia="da-DK"/>
        </w:rPr>
      </w:pPr>
    </w:p>
    <w:p w:rsidR="004E5859" w:rsidRDefault="004E5859"/>
    <w:sectPr w:rsidR="004E5859" w:rsidSect="004E585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A1D20"/>
    <w:multiLevelType w:val="hybridMultilevel"/>
    <w:tmpl w:val="249E187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8510D03"/>
    <w:multiLevelType w:val="hybridMultilevel"/>
    <w:tmpl w:val="156C4006"/>
    <w:lvl w:ilvl="0" w:tplc="8990D9CE">
      <w:start w:val="1"/>
      <w:numFmt w:val="lowerLetter"/>
      <w:lvlText w:val="%1)"/>
      <w:lvlJc w:val="left"/>
      <w:pPr>
        <w:tabs>
          <w:tab w:val="num" w:pos="720"/>
        </w:tabs>
        <w:ind w:left="720" w:hanging="360"/>
      </w:pPr>
    </w:lvl>
    <w:lvl w:ilvl="1" w:tplc="4F3C4938" w:tentative="1">
      <w:start w:val="1"/>
      <w:numFmt w:val="lowerLetter"/>
      <w:lvlText w:val="%2)"/>
      <w:lvlJc w:val="left"/>
      <w:pPr>
        <w:tabs>
          <w:tab w:val="num" w:pos="1440"/>
        </w:tabs>
        <w:ind w:left="1440" w:hanging="360"/>
      </w:pPr>
    </w:lvl>
    <w:lvl w:ilvl="2" w:tplc="775EAC5E" w:tentative="1">
      <w:start w:val="1"/>
      <w:numFmt w:val="lowerLetter"/>
      <w:lvlText w:val="%3)"/>
      <w:lvlJc w:val="left"/>
      <w:pPr>
        <w:tabs>
          <w:tab w:val="num" w:pos="2160"/>
        </w:tabs>
        <w:ind w:left="2160" w:hanging="360"/>
      </w:pPr>
    </w:lvl>
    <w:lvl w:ilvl="3" w:tplc="3F46E1D4" w:tentative="1">
      <w:start w:val="1"/>
      <w:numFmt w:val="lowerLetter"/>
      <w:lvlText w:val="%4)"/>
      <w:lvlJc w:val="left"/>
      <w:pPr>
        <w:tabs>
          <w:tab w:val="num" w:pos="2880"/>
        </w:tabs>
        <w:ind w:left="2880" w:hanging="360"/>
      </w:pPr>
    </w:lvl>
    <w:lvl w:ilvl="4" w:tplc="186C34A0" w:tentative="1">
      <w:start w:val="1"/>
      <w:numFmt w:val="lowerLetter"/>
      <w:lvlText w:val="%5)"/>
      <w:lvlJc w:val="left"/>
      <w:pPr>
        <w:tabs>
          <w:tab w:val="num" w:pos="3600"/>
        </w:tabs>
        <w:ind w:left="3600" w:hanging="360"/>
      </w:pPr>
    </w:lvl>
    <w:lvl w:ilvl="5" w:tplc="30A20292" w:tentative="1">
      <w:start w:val="1"/>
      <w:numFmt w:val="lowerLetter"/>
      <w:lvlText w:val="%6)"/>
      <w:lvlJc w:val="left"/>
      <w:pPr>
        <w:tabs>
          <w:tab w:val="num" w:pos="4320"/>
        </w:tabs>
        <w:ind w:left="4320" w:hanging="360"/>
      </w:pPr>
    </w:lvl>
    <w:lvl w:ilvl="6" w:tplc="F9FE10E6" w:tentative="1">
      <w:start w:val="1"/>
      <w:numFmt w:val="lowerLetter"/>
      <w:lvlText w:val="%7)"/>
      <w:lvlJc w:val="left"/>
      <w:pPr>
        <w:tabs>
          <w:tab w:val="num" w:pos="5040"/>
        </w:tabs>
        <w:ind w:left="5040" w:hanging="360"/>
      </w:pPr>
    </w:lvl>
    <w:lvl w:ilvl="7" w:tplc="97503CFC" w:tentative="1">
      <w:start w:val="1"/>
      <w:numFmt w:val="lowerLetter"/>
      <w:lvlText w:val="%8)"/>
      <w:lvlJc w:val="left"/>
      <w:pPr>
        <w:tabs>
          <w:tab w:val="num" w:pos="5760"/>
        </w:tabs>
        <w:ind w:left="5760" w:hanging="360"/>
      </w:pPr>
    </w:lvl>
    <w:lvl w:ilvl="8" w:tplc="F6D0321E" w:tentative="1">
      <w:start w:val="1"/>
      <w:numFmt w:val="low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35A"/>
    <w:rsid w:val="004E5859"/>
    <w:rsid w:val="006322E4"/>
    <w:rsid w:val="00BE1025"/>
    <w:rsid w:val="00E4235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4F318D-9793-49FA-AFA1-5870AC085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859"/>
    <w:pPr>
      <w:tabs>
        <w:tab w:val="left" w:pos="680"/>
      </w:tabs>
      <w:spacing w:after="0" w:line="360" w:lineRule="auto"/>
    </w:pPr>
    <w:rPr>
      <w:rFonts w:ascii="Times New Roman" w:hAnsi="Times New Roman"/>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4235A"/>
    <w:pPr>
      <w:ind w:left="720"/>
      <w:contextualSpacing/>
    </w:pPr>
    <w:rPr>
      <w:rFonts w:eastAsiaTheme="minorEastAsia" w:cs="Calibri"/>
      <w:bCs/>
    </w:rPr>
  </w:style>
  <w:style w:type="character" w:styleId="Hyperlink">
    <w:name w:val="Hyperlink"/>
    <w:basedOn w:val="Standardskrifttypeiafsnit"/>
    <w:uiPriority w:val="99"/>
    <w:unhideWhenUsed/>
    <w:rsid w:val="00E423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258831">
      <w:bodyDiv w:val="1"/>
      <w:marLeft w:val="0"/>
      <w:marRight w:val="0"/>
      <w:marTop w:val="0"/>
      <w:marBottom w:val="0"/>
      <w:divBdr>
        <w:top w:val="none" w:sz="0" w:space="0" w:color="auto"/>
        <w:left w:val="none" w:sz="0" w:space="0" w:color="auto"/>
        <w:bottom w:val="none" w:sz="0" w:space="0" w:color="auto"/>
        <w:right w:val="none" w:sz="0" w:space="0" w:color="auto"/>
      </w:divBdr>
      <w:divsChild>
        <w:div w:id="579218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olkekirkensskoletjeneste.dk/"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726</Words>
  <Characters>4432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1</cp:revision>
  <dcterms:created xsi:type="dcterms:W3CDTF">2018-09-20T09:11:00Z</dcterms:created>
  <dcterms:modified xsi:type="dcterms:W3CDTF">2018-09-20T09:14:00Z</dcterms:modified>
</cp:coreProperties>
</file>